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360" w:lineRule="auto"/>
        <w:rPr>
          <w:b w:val="1"/>
          <w:shd w:fill="auto" w:val="clear"/>
        </w:rPr>
      </w:pPr>
      <w:bookmarkStart w:colFirst="0" w:colLast="0" w:name="_3uq8wjolghj0" w:id="0"/>
      <w:bookmarkEnd w:id="0"/>
      <w:r w:rsidDel="00000000" w:rsidR="00000000" w:rsidRPr="00000000">
        <w:rPr>
          <w:b w:val="1"/>
          <w:shd w:fill="auto" w:val="clear"/>
          <w:rtl w:val="0"/>
        </w:rPr>
        <w:t xml:space="preserve">Mayfair Legal Funding Extends Financial Support to Plaintiffs in IVC Filter Lawsuits</w:t>
      </w:r>
    </w:p>
    <w:p w:rsidR="00000000" w:rsidDel="00000000" w:rsidP="00000000" w:rsidRDefault="00000000" w:rsidRPr="00000000" w14:paraId="00000002">
      <w:pPr>
        <w:spacing w:line="360" w:lineRule="auto"/>
        <w:rPr>
          <w:b w:val="1"/>
          <w:sz w:val="26"/>
          <w:szCs w:val="26"/>
          <w:shd w:fill="auto" w:val="clear"/>
        </w:rPr>
      </w:pPr>
      <w:r w:rsidDel="00000000" w:rsidR="00000000" w:rsidRPr="00000000">
        <w:rPr>
          <w:sz w:val="26"/>
          <w:szCs w:val="26"/>
          <w:shd w:fill="auto" w:val="clear"/>
          <w:rtl w:val="0"/>
        </w:rPr>
        <w:t xml:space="preserve">IVC filter lawsuits have surged as more patients come forward with life-altering injuries caused by these defective medical devices. Unfortunately, legal battles against major manufacturers can take years, leaving many plaintiffs struggling to pay for medical treatments, rent, and daily necessities. Mayfair Legal Funding offers financial assistance to help victims stay afloat while they await their settlements. With pre-settlement funding, plaintiffs can fight for fair compensation without being forced into early, low-value settlements due to financial distress. Mayfair’s support ensures that those harmed by IVC filters have the resources to see their cases through to justice.</w:t>
      </w:r>
      <w:r w:rsidDel="00000000" w:rsidR="00000000" w:rsidRPr="00000000">
        <w:rPr>
          <w:rtl w:val="0"/>
        </w:rPr>
      </w:r>
    </w:p>
    <w:p w:rsidR="00000000" w:rsidDel="00000000" w:rsidP="00000000" w:rsidRDefault="00000000" w:rsidRPr="00000000" w14:paraId="00000003">
      <w:pPr>
        <w:pStyle w:val="Heading2"/>
        <w:spacing w:before="360" w:line="360" w:lineRule="auto"/>
        <w:rPr>
          <w:b w:val="1"/>
          <w:color w:val="000000"/>
          <w:shd w:fill="auto" w:val="clear"/>
        </w:rPr>
      </w:pPr>
      <w:bookmarkStart w:colFirst="0" w:colLast="0" w:name="_op0d1sqnspl" w:id="1"/>
      <w:bookmarkEnd w:id="1"/>
      <w:r w:rsidDel="00000000" w:rsidR="00000000" w:rsidRPr="00000000">
        <w:rPr>
          <w:b w:val="1"/>
          <w:color w:val="000000"/>
          <w:shd w:fill="auto" w:val="clear"/>
          <w:rtl w:val="0"/>
        </w:rPr>
        <w:t xml:space="preserve">The Reality of IVC Filter Complications</w:t>
      </w:r>
    </w:p>
    <w:p w:rsidR="00000000" w:rsidDel="00000000" w:rsidP="00000000" w:rsidRDefault="00000000" w:rsidRPr="00000000" w14:paraId="00000004">
      <w:pPr>
        <w:spacing w:line="360" w:lineRule="auto"/>
        <w:rPr>
          <w:sz w:val="26"/>
          <w:szCs w:val="26"/>
          <w:shd w:fill="auto" w:val="clear"/>
        </w:rPr>
      </w:pPr>
      <w:r w:rsidDel="00000000" w:rsidR="00000000" w:rsidRPr="00000000">
        <w:rPr>
          <w:sz w:val="26"/>
          <w:szCs w:val="26"/>
          <w:shd w:fill="auto" w:val="clear"/>
          <w:rtl w:val="0"/>
        </w:rPr>
        <w:t xml:space="preserve">IVC filters were developed as a medical intervention to prevent pulmonary embolisms in patients at risk of blood clots. These small, cage-like devices are inserted into the inferior vena cava—the body’s largest vein—to catch and stop blood clots from reaching the lungs. However, despite their intended benefits, thousands of patients have experienced severe complications, including filter migration, fracture, vein perforation, and even organ damage. Many victims claim that manufacturers failed to adequately warn them about the risks associated with the devices, particularly when left implanted for extended periods.</w:t>
      </w:r>
    </w:p>
    <w:p w:rsidR="00000000" w:rsidDel="00000000" w:rsidP="00000000" w:rsidRDefault="00000000" w:rsidRPr="00000000" w14:paraId="00000005">
      <w:pPr>
        <w:pStyle w:val="Heading2"/>
        <w:spacing w:before="360" w:line="360" w:lineRule="auto"/>
        <w:rPr>
          <w:b w:val="1"/>
          <w:color w:val="000000"/>
          <w:shd w:fill="auto" w:val="clear"/>
        </w:rPr>
      </w:pPr>
      <w:bookmarkStart w:colFirst="0" w:colLast="0" w:name="_fv71rmqmrqc8" w:id="2"/>
      <w:bookmarkEnd w:id="2"/>
      <w:r w:rsidDel="00000000" w:rsidR="00000000" w:rsidRPr="00000000">
        <w:rPr>
          <w:b w:val="1"/>
          <w:color w:val="000000"/>
          <w:shd w:fill="auto" w:val="clear"/>
          <w:rtl w:val="0"/>
        </w:rPr>
        <w:t xml:space="preserve">The Growing IVC Filter Litigation Landscape</w:t>
      </w:r>
    </w:p>
    <w:p w:rsidR="00000000" w:rsidDel="00000000" w:rsidP="00000000" w:rsidRDefault="00000000" w:rsidRPr="00000000" w14:paraId="00000006">
      <w:pPr>
        <w:spacing w:line="360" w:lineRule="auto"/>
        <w:rPr>
          <w:sz w:val="26"/>
          <w:szCs w:val="26"/>
          <w:shd w:fill="auto" w:val="clear"/>
        </w:rPr>
      </w:pPr>
      <w:r w:rsidDel="00000000" w:rsidR="00000000" w:rsidRPr="00000000">
        <w:rPr>
          <w:sz w:val="26"/>
          <w:szCs w:val="26"/>
          <w:shd w:fill="auto" w:val="clear"/>
          <w:rtl w:val="0"/>
        </w:rPr>
        <w:t xml:space="preserve">The IVC filter litigation landscape has evolved significantly over the past decade. In 2010, the U.S. </w:t>
      </w:r>
      <w:r w:rsidDel="00000000" w:rsidR="00000000" w:rsidRPr="00000000">
        <w:rPr>
          <w:sz w:val="26"/>
          <w:szCs w:val="26"/>
          <w:shd w:fill="auto" w:val="clear"/>
          <w:rtl w:val="0"/>
        </w:rPr>
        <w:t xml:space="preserve">Food</w:t>
      </w:r>
      <w:r w:rsidDel="00000000" w:rsidR="00000000" w:rsidRPr="00000000">
        <w:rPr>
          <w:sz w:val="26"/>
          <w:szCs w:val="26"/>
          <w:shd w:fill="auto" w:val="clear"/>
          <w:rtl w:val="0"/>
        </w:rPr>
        <w:t xml:space="preserve"> and Drug Administration (FDA) issued a safety communication warning about the risks of long-term IVC filter implantation. Additionally, in 2020, one manufacturer agreed to a $3.6 million settlement to resolve claims related to device defects. However, many cases remain unresolved, with plaintiffs continuing to seek compensation for their injuries. The litigation has highlighted the need for greater accountability in the medical device industry and has underscored the importance of providing financial support to victims during the legal process.</w:t>
      </w:r>
    </w:p>
    <w:p w:rsidR="00000000" w:rsidDel="00000000" w:rsidP="00000000" w:rsidRDefault="00000000" w:rsidRPr="00000000" w14:paraId="00000007">
      <w:pPr>
        <w:pStyle w:val="Heading2"/>
        <w:spacing w:before="360" w:line="360" w:lineRule="auto"/>
        <w:rPr>
          <w:b w:val="1"/>
          <w:color w:val="000000"/>
          <w:shd w:fill="auto" w:val="clear"/>
        </w:rPr>
      </w:pPr>
      <w:bookmarkStart w:colFirst="0" w:colLast="0" w:name="_yp43dquq8q65" w:id="3"/>
      <w:bookmarkEnd w:id="3"/>
      <w:r w:rsidDel="00000000" w:rsidR="00000000" w:rsidRPr="00000000">
        <w:rPr>
          <w:b w:val="1"/>
          <w:color w:val="000000"/>
          <w:shd w:fill="auto" w:val="clear"/>
          <w:rtl w:val="0"/>
        </w:rPr>
        <w:t xml:space="preserve">Challenges Faced by IVC Filter Plaintiffs</w:t>
      </w:r>
    </w:p>
    <w:p w:rsidR="00000000" w:rsidDel="00000000" w:rsidP="00000000" w:rsidRDefault="00000000" w:rsidRPr="00000000" w14:paraId="00000008">
      <w:pPr>
        <w:spacing w:line="360" w:lineRule="auto"/>
        <w:rPr>
          <w:sz w:val="26"/>
          <w:szCs w:val="26"/>
          <w:shd w:fill="auto" w:val="clear"/>
        </w:rPr>
      </w:pPr>
      <w:r w:rsidDel="00000000" w:rsidR="00000000" w:rsidRPr="00000000">
        <w:rPr>
          <w:sz w:val="26"/>
          <w:szCs w:val="26"/>
          <w:shd w:fill="auto" w:val="clear"/>
          <w:rtl w:val="0"/>
        </w:rPr>
        <w:t xml:space="preserve">Pursuing legal action in cases involving medical device manufacturers is not only emotionally taxing but also financially burdensome. Many victims are already struggling with declining health, making it difficult to maintain employment or afford necessary treatments. Additionally, large corporations often employ extensive legal resources to delay or minimize payouts, leaving plaintiffs in a financially precarious position while their cases move through the courts.</w:t>
      </w:r>
    </w:p>
    <w:p w:rsidR="00000000" w:rsidDel="00000000" w:rsidP="00000000" w:rsidRDefault="00000000" w:rsidRPr="00000000" w14:paraId="00000009">
      <w:pPr>
        <w:spacing w:line="360" w:lineRule="auto"/>
        <w:rPr>
          <w:sz w:val="26"/>
          <w:szCs w:val="26"/>
          <w:shd w:fill="auto" w:val="clear"/>
        </w:rPr>
      </w:pPr>
      <w:r w:rsidDel="00000000" w:rsidR="00000000" w:rsidRPr="00000000">
        <w:rPr>
          <w:sz w:val="26"/>
          <w:szCs w:val="26"/>
          <w:shd w:fill="auto" w:val="clear"/>
          <w:rtl w:val="0"/>
        </w:rPr>
        <w:t xml:space="preserve">With settlements and verdicts often taking months or even years to finalize, victims are forced to choose between continuing their fight for justice or settling prematurely due to financial constraints. Many end up accepting lowball offers simply because they cannot afford to wait any longer.</w:t>
      </w:r>
    </w:p>
    <w:p w:rsidR="00000000" w:rsidDel="00000000" w:rsidP="00000000" w:rsidRDefault="00000000" w:rsidRPr="00000000" w14:paraId="0000000A">
      <w:pPr>
        <w:pStyle w:val="Heading2"/>
        <w:spacing w:before="360" w:line="360" w:lineRule="auto"/>
        <w:rPr>
          <w:b w:val="1"/>
          <w:color w:val="000000"/>
          <w:shd w:fill="auto" w:val="clear"/>
        </w:rPr>
      </w:pPr>
      <w:bookmarkStart w:colFirst="0" w:colLast="0" w:name="_ebfz4x57h36j" w:id="4"/>
      <w:bookmarkEnd w:id="4"/>
      <w:r w:rsidDel="00000000" w:rsidR="00000000" w:rsidRPr="00000000">
        <w:rPr>
          <w:b w:val="1"/>
          <w:color w:val="000000"/>
          <w:shd w:fill="auto" w:val="clear"/>
          <w:rtl w:val="0"/>
        </w:rPr>
        <w:t xml:space="preserve">Financial Relief for IVC Filter Plaintiffs</w:t>
      </w:r>
    </w:p>
    <w:p w:rsidR="00000000" w:rsidDel="00000000" w:rsidP="00000000" w:rsidRDefault="00000000" w:rsidRPr="00000000" w14:paraId="0000000B">
      <w:pPr>
        <w:spacing w:line="360" w:lineRule="auto"/>
        <w:rPr>
          <w:sz w:val="26"/>
          <w:szCs w:val="26"/>
          <w:shd w:fill="auto" w:val="clear"/>
        </w:rPr>
      </w:pPr>
      <w:r w:rsidDel="00000000" w:rsidR="00000000" w:rsidRPr="00000000">
        <w:rPr>
          <w:sz w:val="26"/>
          <w:szCs w:val="26"/>
          <w:shd w:fill="auto" w:val="clear"/>
          <w:rtl w:val="0"/>
        </w:rPr>
        <w:t xml:space="preserve">Recognizing the challenges faced by plaintiffs in these lawsuits, Mayfair Legal Funding is committed to providing financial assistance that allows them to focus on their health and legal battle without the added stress of immediate financial hardships. By offering non-recourse lawsuit funding, victims can secure the financial stability they need to continue their fight for fair compensation.</w:t>
      </w:r>
    </w:p>
    <w:p w:rsidR="00000000" w:rsidDel="00000000" w:rsidP="00000000" w:rsidRDefault="00000000" w:rsidRPr="00000000" w14:paraId="0000000C">
      <w:pPr>
        <w:spacing w:line="360" w:lineRule="auto"/>
        <w:rPr>
          <w:sz w:val="26"/>
          <w:szCs w:val="26"/>
          <w:shd w:fill="auto" w:val="clear"/>
        </w:rPr>
      </w:pPr>
      <w:r w:rsidDel="00000000" w:rsidR="00000000" w:rsidRPr="00000000">
        <w:rPr>
          <w:sz w:val="26"/>
          <w:szCs w:val="26"/>
          <w:shd w:fill="auto" w:val="clear"/>
          <w:rtl w:val="0"/>
        </w:rPr>
        <w:t xml:space="preserve">This funding is not a loan but rather an advance against the expected settlement, meaning recipients only repay if they win their case. It’s not just financial aid—it’s the ability to reclaim control over their health and future while seeking justice in court.</w:t>
      </w:r>
    </w:p>
    <w:p w:rsidR="00000000" w:rsidDel="00000000" w:rsidP="00000000" w:rsidRDefault="00000000" w:rsidRPr="00000000" w14:paraId="0000000D">
      <w:pPr>
        <w:spacing w:line="360" w:lineRule="auto"/>
        <w:rPr>
          <w:sz w:val="26"/>
          <w:szCs w:val="26"/>
          <w:shd w:fill="auto" w:val="clear"/>
        </w:rPr>
      </w:pPr>
      <w:r w:rsidDel="00000000" w:rsidR="00000000" w:rsidRPr="00000000">
        <w:rPr>
          <w:rtl w:val="0"/>
        </w:rPr>
      </w:r>
    </w:p>
    <w:p w:rsidR="00000000" w:rsidDel="00000000" w:rsidP="00000000" w:rsidRDefault="00000000" w:rsidRPr="00000000" w14:paraId="0000000E">
      <w:pPr>
        <w:spacing w:line="360" w:lineRule="auto"/>
        <w:rPr>
          <w:b w:val="1"/>
          <w:color w:val="0e101a"/>
          <w:sz w:val="26"/>
          <w:szCs w:val="26"/>
          <w:shd w:fill="auto" w:val="clear"/>
        </w:rPr>
      </w:pPr>
      <w:r w:rsidDel="00000000" w:rsidR="00000000" w:rsidRPr="00000000">
        <w:rPr>
          <w:b w:val="1"/>
          <w:color w:val="0e101a"/>
          <w:sz w:val="26"/>
          <w:szCs w:val="26"/>
          <w:shd w:fill="auto" w:val="clear"/>
          <w:rtl w:val="0"/>
        </w:rPr>
        <w:t xml:space="preserve">Media Contact</w:t>
      </w:r>
    </w:p>
    <w:p w:rsidR="00000000" w:rsidDel="00000000" w:rsidP="00000000" w:rsidRDefault="00000000" w:rsidRPr="00000000" w14:paraId="0000000F">
      <w:pPr>
        <w:spacing w:line="360" w:lineRule="auto"/>
        <w:rPr>
          <w:color w:val="0e101a"/>
          <w:sz w:val="26"/>
          <w:szCs w:val="26"/>
          <w:shd w:fill="auto" w:val="clear"/>
        </w:rPr>
      </w:pPr>
      <w:r w:rsidDel="00000000" w:rsidR="00000000" w:rsidRPr="00000000">
        <w:rPr>
          <w:color w:val="0e101a"/>
          <w:sz w:val="26"/>
          <w:szCs w:val="26"/>
          <w:shd w:fill="auto" w:val="clear"/>
          <w:rtl w:val="0"/>
        </w:rPr>
        <w:t xml:space="preserve">Mayfair Legal Funding</w:t>
      </w:r>
    </w:p>
    <w:p w:rsidR="00000000" w:rsidDel="00000000" w:rsidP="00000000" w:rsidRDefault="00000000" w:rsidRPr="00000000" w14:paraId="00000010">
      <w:pPr>
        <w:spacing w:line="360" w:lineRule="auto"/>
        <w:rPr>
          <w:color w:val="0e101a"/>
          <w:sz w:val="26"/>
          <w:szCs w:val="26"/>
          <w:shd w:fill="auto" w:val="clear"/>
        </w:rPr>
      </w:pPr>
      <w:r w:rsidDel="00000000" w:rsidR="00000000" w:rsidRPr="00000000">
        <w:rPr>
          <w:color w:val="0e101a"/>
          <w:sz w:val="26"/>
          <w:szCs w:val="26"/>
          <w:shd w:fill="auto" w:val="clear"/>
          <w:rtl w:val="0"/>
        </w:rPr>
        <w:t xml:space="preserve">Info@mayfairfunding.com</w:t>
      </w:r>
    </w:p>
    <w:p w:rsidR="00000000" w:rsidDel="00000000" w:rsidP="00000000" w:rsidRDefault="00000000" w:rsidRPr="00000000" w14:paraId="00000011">
      <w:pPr>
        <w:spacing w:line="360" w:lineRule="auto"/>
        <w:rPr>
          <w:color w:val="0e101a"/>
          <w:sz w:val="26"/>
          <w:szCs w:val="26"/>
          <w:shd w:fill="auto" w:val="clear"/>
        </w:rPr>
      </w:pPr>
      <w:r w:rsidDel="00000000" w:rsidR="00000000" w:rsidRPr="00000000">
        <w:rPr>
          <w:color w:val="0e101a"/>
          <w:sz w:val="26"/>
          <w:szCs w:val="26"/>
          <w:shd w:fill="auto" w:val="clear"/>
          <w:rtl w:val="0"/>
        </w:rPr>
        <w:t xml:space="preserve">(888) 357-1338</w:t>
      </w:r>
    </w:p>
    <w:p w:rsidR="00000000" w:rsidDel="00000000" w:rsidP="00000000" w:rsidRDefault="00000000" w:rsidRPr="00000000" w14:paraId="00000012">
      <w:pPr>
        <w:spacing w:line="360" w:lineRule="auto"/>
        <w:rPr>
          <w:color w:val="0e101a"/>
          <w:sz w:val="26"/>
          <w:szCs w:val="26"/>
          <w:shd w:fill="auto" w:val="clear"/>
        </w:rPr>
      </w:pPr>
      <w:r w:rsidDel="00000000" w:rsidR="00000000" w:rsidRPr="00000000">
        <w:rPr>
          <w:color w:val="0e101a"/>
          <w:sz w:val="26"/>
          <w:szCs w:val="26"/>
          <w:shd w:fill="auto" w:val="clear"/>
          <w:rtl w:val="0"/>
        </w:rPr>
        <w:t xml:space="preserve">www.mayfairlegalfunding.com</w:t>
      </w:r>
    </w:p>
    <w:p w:rsidR="00000000" w:rsidDel="00000000" w:rsidP="00000000" w:rsidRDefault="00000000" w:rsidRPr="00000000" w14:paraId="00000013">
      <w:pPr>
        <w:spacing w:line="360" w:lineRule="auto"/>
        <w:rPr>
          <w:color w:val="0e101a"/>
          <w:sz w:val="26"/>
          <w:szCs w:val="26"/>
          <w:shd w:fill="auto" w:val="clear"/>
        </w:rPr>
      </w:pPr>
      <w:r w:rsidDel="00000000" w:rsidR="00000000" w:rsidRPr="00000000">
        <w:rPr>
          <w:rtl w:val="0"/>
        </w:rPr>
      </w:r>
    </w:p>
    <w:p w:rsidR="00000000" w:rsidDel="00000000" w:rsidP="00000000" w:rsidRDefault="00000000" w:rsidRPr="00000000" w14:paraId="00000014">
      <w:pPr>
        <w:spacing w:line="360" w:lineRule="auto"/>
        <w:rPr>
          <w:sz w:val="26"/>
          <w:szCs w:val="26"/>
          <w:shd w:fill="auto" w:val="clea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highlight w:val="white"/>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280" w:lineRule="auto"/>
      <w:ind w:left="0" w:firstLine="0"/>
    </w:pPr>
    <w:rPr>
      <w:color w:val="3c78d8"/>
      <w:sz w:val="32"/>
      <w:szCs w:val="32"/>
    </w:rPr>
  </w:style>
  <w:style w:type="paragraph" w:styleId="Heading3">
    <w:name w:val="heading 3"/>
    <w:basedOn w:val="Normal"/>
    <w:next w:val="Normal"/>
    <w:pPr>
      <w:keepNext w:val="1"/>
      <w:keepLines w:val="1"/>
      <w:spacing w:after="240" w:before="240" w:lineRule="auto"/>
    </w:pPr>
    <w:rPr>
      <w:color w:val="0b5394"/>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